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386" w14:textId="39c7386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регламентов государственных услуг, оказываемых местными исполнительными органами в сфере дошкольного воспитания и обучения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акимата Западно-Казахстанской области от 23 июня 2015 года № 148. Зарегистрировано Департаментом юстиции Западно-Казахстанской области 4 августа 2015 года № 3963.</w:t>
      </w:r>
    </w:p>
    <w:p>
      <w:pPr>
        <w:spacing w:after="0"/>
        <w:ind w:left="0"/>
        <w:jc w:val="left"/>
      </w:pPr>
      <w:bookmarkStart w:name="z3" w:id="0"/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Законами Республики Казахстан от 23 января 2001 года </w:t>
      </w:r>
      <w:r>
        <w:rPr>
          <w:rFonts w:ascii="Consolas"/>
          <w:b w:val="false"/>
          <w:i w:val="false"/>
          <w:color w:val="000000"/>
          <w:sz w:val="20"/>
        </w:rPr>
        <w:t>"О местном государственном управлении и самоуправлении в Республике Казахстан"</w:t>
      </w:r>
      <w:r>
        <w:rPr>
          <w:rFonts w:ascii="Consolas"/>
          <w:b w:val="false"/>
          <w:i w:val="false"/>
          <w:color w:val="000000"/>
          <w:sz w:val="20"/>
        </w:rPr>
        <w:t xml:space="preserve">, от 15 апреля 2013 года </w:t>
      </w:r>
      <w:r>
        <w:rPr>
          <w:rFonts w:ascii="Consolas"/>
          <w:b w:val="false"/>
          <w:i w:val="false"/>
          <w:color w:val="000000"/>
          <w:sz w:val="20"/>
        </w:rPr>
        <w:t>"О государственных услугах"</w:t>
      </w:r>
      <w:r>
        <w:rPr>
          <w:rFonts w:ascii="Consolas"/>
          <w:b w:val="false"/>
          <w:i w:val="false"/>
          <w:color w:val="000000"/>
          <w:sz w:val="20"/>
        </w:rPr>
        <w:t xml:space="preserve">, акимат Западно-Казахстанской области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1. Утвердить прилагаемые регламенты государственных услуг, оказываемых местными исполнительными органами в сфере дошкольного воспитания и обучения по Западно-Казахстанской области: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1) </w:t>
      </w:r>
      <w:r>
        <w:rPr>
          <w:rFonts w:ascii="Consolas"/>
          <w:b w:val="false"/>
          <w:i w:val="false"/>
          <w:color w:val="000000"/>
          <w:sz w:val="20"/>
        </w:rPr>
        <w:t>"Постановка на очередь детей дошкольного возраста (до 7 лет) для направления в детские дошкольные организации"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2) </w:t>
      </w:r>
      <w:r>
        <w:rPr>
          <w:rFonts w:ascii="Consolas"/>
          <w:b w:val="false"/>
          <w:i w:val="false"/>
          <w:color w:val="000000"/>
          <w:sz w:val="20"/>
        </w:rPr>
        <w:t>"Прием документов и зачисление детей в дошкольные организации образования"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2. Признать утратившими силу 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акимата Западно-Казахстанской области от 2 сентября 2014 года № 223"Об утверждении регламентов государственных услуг, оказываемых местными исполнительными органами в сфере дошкольного и среднего образования по Западно-Казахстанской области" (зарегистрированное в Реестре государственной регистрации нормативных правовых актов № 3641, опубликованное 8 ноября 2014 года в газетах "Орал өңірі" и "Приуралье").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3. Государственному учреждению "Управление образования Западно-Казахстанской области" (А. Мынбаева)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4. Контроль за исполнением данного постановления возложить на заместителя акима области Макен Б. 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 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 июня 2015 года № 148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Регламент - в редакции постановления акимата Западно-Казахстанской области от 29.12.2017 </w:t>
      </w:r>
      <w:r>
        <w:rPr>
          <w:rFonts w:ascii="Consolas"/>
          <w:b w:val="false"/>
          <w:i w:val="false"/>
          <w:color w:val="ff0000"/>
          <w:sz w:val="20"/>
        </w:rPr>
        <w:t>№ 338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оказывается местными исполнительными органами города областного значения, района, акимами поселка, села, сельского округа (далее-услугодатель),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от 11 октября 2017 года №518 "О внесений изменений в приказ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осуществляются через: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веб-портал "электронного правительства": www.egov.kz (далее – портал).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физическим лицам (далее – услугополучатель) бесплатно.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Согласно </w:t>
      </w:r>
      <w:r>
        <w:rPr>
          <w:rFonts w:ascii="Consolas"/>
          <w:b w:val="false"/>
          <w:i w:val="false"/>
          <w:color w:val="000000"/>
          <w:sz w:val="20"/>
        </w:rPr>
        <w:t>пункту 7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 право получения первоочередного места имеют: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дети, законные представители которых являются инвалидами;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дети, оставшиеся без попечения родителей и дети-сироты;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дети из многодетных семей;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дети с особыми образовательными потребностями.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Consolas"/>
          <w:b w:val="false"/>
          <w:i w:val="false"/>
          <w:color w:val="000000"/>
          <w:sz w:val="20"/>
        </w:rPr>
        <w:t>пунктом 10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Consolas"/>
          <w:b w:val="false"/>
          <w:i w:val="false"/>
          <w:color w:val="000000"/>
          <w:sz w:val="20"/>
        </w:rPr>
        <w:t>пункту 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сотрудник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 2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Основанием для начала действия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сотрудник канцелярии услугодателя с момента подачи необходимых </w:t>
      </w:r>
      <w:r>
        <w:rPr>
          <w:rFonts w:ascii="Consolas"/>
          <w:b/>
          <w:i w:val="false"/>
          <w:color w:val="000000"/>
          <w:sz w:val="20"/>
        </w:rPr>
        <w:t xml:space="preserve">документов в течение 5 (пяти) минут осуществляет их прием, регистрацию </w:t>
      </w:r>
      <w:r>
        <w:rPr>
          <w:rFonts w:ascii="Consolas"/>
          <w:b w:val="false"/>
          <w:i w:val="false"/>
          <w:color w:val="000000"/>
          <w:sz w:val="20"/>
        </w:rPr>
        <w:t>и направляет на резолюцию руководителю услугодателя;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руководитель услугодателя </w:t>
      </w:r>
      <w:r>
        <w:rPr>
          <w:rFonts w:ascii="Consolas"/>
          <w:b/>
          <w:i w:val="false"/>
          <w:color w:val="000000"/>
          <w:sz w:val="20"/>
        </w:rPr>
        <w:t xml:space="preserve">в течение 5 (пяти) минут </w:t>
      </w:r>
      <w:r>
        <w:rPr>
          <w:rFonts w:ascii="Consolas"/>
          <w:b w:val="false"/>
          <w:i w:val="false"/>
          <w:color w:val="000000"/>
          <w:sz w:val="20"/>
        </w:rPr>
        <w:t>накладывает резолюцию и направляет документы ответственному исполнителю услугодателя;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ответственный исполнитель услугодателя </w:t>
      </w:r>
      <w:r>
        <w:rPr>
          <w:rFonts w:ascii="Consolas"/>
          <w:b/>
          <w:i w:val="false"/>
          <w:color w:val="000000"/>
          <w:sz w:val="20"/>
        </w:rPr>
        <w:t xml:space="preserve">в течение 10 (десяти) минут </w:t>
      </w:r>
      <w:r>
        <w:rPr>
          <w:rFonts w:ascii="Consolas"/>
          <w:b w:val="false"/>
          <w:i w:val="false"/>
          <w:color w:val="000000"/>
          <w:sz w:val="20"/>
        </w:rPr>
        <w:t xml:space="preserve">рассматривает поступившие документы, </w:t>
      </w:r>
      <w:r>
        <w:rPr>
          <w:rFonts w:ascii="Consolas"/>
          <w:b/>
          <w:i w:val="false"/>
          <w:color w:val="000000"/>
          <w:sz w:val="20"/>
        </w:rPr>
        <w:t>готовит уведомление, направление и направляет на подпись руководителю услугодателя;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 xml:space="preserve">4) </w:t>
      </w:r>
      <w:r>
        <w:rPr>
          <w:rFonts w:ascii="Consolas"/>
          <w:b w:val="false"/>
          <w:i w:val="false"/>
          <w:color w:val="000000"/>
          <w:sz w:val="20"/>
        </w:rPr>
        <w:t xml:space="preserve">руководитель услугодателя </w:t>
      </w:r>
      <w:r>
        <w:rPr>
          <w:rFonts w:ascii="Consolas"/>
          <w:b/>
          <w:i w:val="false"/>
          <w:color w:val="000000"/>
          <w:sz w:val="20"/>
        </w:rPr>
        <w:t xml:space="preserve">в течение 5 (пяти) минут </w:t>
      </w:r>
      <w:r>
        <w:rPr>
          <w:rFonts w:ascii="Consolas"/>
          <w:b w:val="false"/>
          <w:i w:val="false"/>
          <w:color w:val="000000"/>
          <w:sz w:val="20"/>
        </w:rPr>
        <w:t xml:space="preserve">подписывает </w:t>
      </w:r>
      <w:r>
        <w:rPr>
          <w:rFonts w:ascii="Consolas"/>
          <w:b/>
          <w:i w:val="false"/>
          <w:color w:val="000000"/>
          <w:sz w:val="20"/>
        </w:rPr>
        <w:t>уведомление, направление и направляет в канцелярию;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сотрудник канцелярии услугодателя </w:t>
      </w:r>
      <w:r>
        <w:rPr>
          <w:rFonts w:ascii="Consolas"/>
          <w:b/>
          <w:i w:val="false"/>
          <w:color w:val="000000"/>
          <w:sz w:val="20"/>
        </w:rPr>
        <w:t>в течение 5 (пяти) минут</w:t>
      </w:r>
      <w:r>
        <w:rPr>
          <w:rFonts w:ascii="Consolas"/>
          <w:b w:val="false"/>
          <w:i w:val="false"/>
          <w:color w:val="000000"/>
          <w:sz w:val="20"/>
        </w:rPr>
        <w:t xml:space="preserve"> выдает результат государственной услуги услугополучателю.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 xml:space="preserve">1) принятие </w:t>
      </w:r>
      <w:r>
        <w:rPr>
          <w:rFonts w:ascii="Consolas"/>
          <w:b w:val="false"/>
          <w:i w:val="false"/>
          <w:color w:val="000000"/>
          <w:sz w:val="20"/>
        </w:rPr>
        <w:t xml:space="preserve">сотрудником канцелярии </w:t>
      </w:r>
      <w:r>
        <w:rPr>
          <w:rFonts w:ascii="Consolas"/>
          <w:b/>
          <w:i w:val="false"/>
          <w:color w:val="000000"/>
          <w:sz w:val="20"/>
        </w:rPr>
        <w:t>у услугополучателя документов и передача их руководителю услугодателя;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3) подготовка ответственным исполнителем услугодателя уведомления, о постановке на очередь, при наличии места направления в дошкольную организацию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 xml:space="preserve">4) подписание руководителем услугодателя уведомления о постановке на очередь, при наличии места направления в дошкольную организацию, </w:t>
      </w:r>
      <w:r>
        <w:rPr>
          <w:rFonts w:ascii="Consolas"/>
          <w:b w:val="false"/>
          <w:i w:val="false"/>
          <w:color w:val="000000"/>
          <w:sz w:val="20"/>
        </w:rPr>
        <w:t xml:space="preserve">либо мотивированный ответ об отказе в оказании государственной услуги по основаниям, установленным </w:t>
      </w:r>
      <w:r>
        <w:rPr>
          <w:rFonts w:ascii="Consolas"/>
          <w:b w:val="false"/>
          <w:i w:val="false"/>
          <w:color w:val="000000"/>
          <w:sz w:val="20"/>
        </w:rPr>
        <w:t>пунктом 10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Стандарта;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 xml:space="preserve">5) выдача </w:t>
      </w:r>
      <w:r>
        <w:rPr>
          <w:rFonts w:ascii="Consolas"/>
          <w:b w:val="false"/>
          <w:i w:val="false"/>
          <w:color w:val="000000"/>
          <w:sz w:val="20"/>
        </w:rPr>
        <w:t xml:space="preserve">результата государственной услуги </w:t>
      </w:r>
      <w:r>
        <w:rPr>
          <w:rFonts w:ascii="Consolas"/>
          <w:b/>
          <w:i w:val="false"/>
          <w:color w:val="000000"/>
          <w:sz w:val="20"/>
        </w:rPr>
        <w:t>услугополучателю направляется в форме электронного документа сотрудником канцелярии услугодателя.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сотрудников канцелярии услугодателя;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руководитель услугодателя;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ответственный исполнитель услугодателя.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Подробное описание последовательности процедур (действия),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"Постановка на очередь детей дошкольного возраста (до 7 лет) для направления в детские дошкольные организации" (далее –Регламент).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процесс 1 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условие 1 – проверка наличия данных услугополучателя в ГБД ФЛ, данных доверенности в ЕНИС (в течение 1 минуты);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процесс 6 – регистрация электронного документа в АРМ РШЭП (в течение 2 минут);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процесс 8 –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приложении 2 настоящего Регламента.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скан-копий документов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 заключения психолого-медико-педагогической консультации для детей с особыми образовательными потребностями (при наличии) в электронном виде указанные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Стандарта, которые являются основаниям для оказания государственной услуги;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10) процесс 6 - формирование сообщения об отказе в запрашиваемой государственной услуге в связи с имеющимися нарушениями в документах услугополучателя и выдает расписку об отказе в приеме документов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Стандарта;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приложении 3 к настоящему Регламенту.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главой 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63500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</w:t>
      </w:r>
      <w:r>
        <w:br/>
      </w:r>
      <w:r>
        <w:rPr>
          <w:rFonts w:ascii="Consolas"/>
          <w:b/>
          <w:i w:val="false"/>
          <w:color w:val="000000"/>
        </w:rPr>
        <w:t>Государственную корпорацию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 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23 июня 2015 года № 148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72"/>
    <w:bookmarkStart w:name="z89" w:id="7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дошкольными организациями всех типов и видов (далее –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 апреля 2015 года № 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2. 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3. Результат оказываемой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Consolas"/>
          <w:b w:val="false"/>
          <w:i w:val="false"/>
          <w:color w:val="000000"/>
          <w:sz w:val="20"/>
        </w:rPr>
        <w:t>пунктом 10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3 - в редакции постановления акимата Западно-Казахстанской области от 29.12.2017 </w:t>
      </w:r>
      <w:r>
        <w:rPr>
          <w:rFonts w:ascii="Consolas"/>
          <w:b w:val="false"/>
          <w:i w:val="false"/>
          <w:color w:val="ff0000"/>
          <w:sz w:val="20"/>
        </w:rPr>
        <w:t>№ 338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74"/>
    <w:bookmarkStart w:name="z96" w:id="7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5"/>
    <w:bookmarkStart w:name="z97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Основанием для начала процедуры (действия) по оказанию государственной услуги является предоставление необходимых документов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 сотрудник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 руководитель услугодателя в течение 5 (пяти) минут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 ответственный исполнитель услугодателя в течение 10 (десяти) минут рассматривает поступившие документы, готовит зачисление и направляет на подпись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4) руководитель услугодателя в течении 5 (пяти) минут подписывает зачисление и направляет их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5) сотрудник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 принятие у услугополучателя документов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 подготовка ответственным исполнителем услугодателя зачисления;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4) подписание руководителем услугодателя зачисления;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5) выдача результата государственной услуги услугополучателю сотрудников канцелярии услугодателя.</w:t>
      </w:r>
    </w:p>
    <w:bookmarkEnd w:id="76"/>
    <w:bookmarkStart w:name="z110" w:id="7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77"/>
    <w:bookmarkStart w:name="z111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1) сотрудник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2) 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3) 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оказание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регламента "Прием документов и зачисление детей в дошкольные организации образования".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 xml:space="preserve">9. Обжалование решений, действий (бездействия)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зачисление детей в дошкольные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организации образования"</w:t>
            </w:r>
          </w:p>
        </w:tc>
      </w:tr>
    </w:tbl>
    <w:bookmarkStart w:name="z118" w:id="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